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5AA9" w14:textId="037BBF82" w:rsidR="00180D24" w:rsidRPr="0028026C" w:rsidRDefault="00E7156A" w:rsidP="0028026C">
      <w:pPr>
        <w:jc w:val="center"/>
        <w:rPr>
          <w:b/>
          <w:bCs/>
        </w:rPr>
      </w:pPr>
      <w:r w:rsidRPr="0028026C">
        <w:rPr>
          <w:b/>
          <w:bCs/>
        </w:rPr>
        <w:t>National Resilience Guidance Strawman</w:t>
      </w:r>
    </w:p>
    <w:p w14:paraId="5195DE38" w14:textId="08FBA730" w:rsidR="003F7FAE" w:rsidRDefault="003F7FAE" w:rsidP="00846ED9">
      <w:pPr>
        <w:jc w:val="center"/>
      </w:pPr>
      <w:r>
        <w:t>Estimated 3</w:t>
      </w:r>
      <w:r w:rsidR="00421BC3">
        <w:t>5</w:t>
      </w:r>
      <w:r>
        <w:t xml:space="preserve"> pages (not including letter from the </w:t>
      </w:r>
      <w:r w:rsidR="00DE7551">
        <w:t>A</w:t>
      </w:r>
      <w:r>
        <w:t>dministrator</w:t>
      </w:r>
      <w:r w:rsidR="00421BC3">
        <w:t xml:space="preserve"> and Appendix</w:t>
      </w:r>
      <w:r>
        <w:t>)</w:t>
      </w:r>
    </w:p>
    <w:p w14:paraId="3B02026B" w14:textId="147021FC" w:rsidR="00E7156A" w:rsidRPr="00B2490E" w:rsidRDefault="00E7156A" w:rsidP="00B2490E">
      <w:pPr>
        <w:pStyle w:val="Bullet1"/>
      </w:pPr>
      <w:r w:rsidRPr="00B2490E">
        <w:t xml:space="preserve">Letter from the Administrator </w:t>
      </w:r>
    </w:p>
    <w:p w14:paraId="66FCE32E" w14:textId="49272824" w:rsidR="00E7156A" w:rsidRDefault="00E7156A" w:rsidP="00B2490E">
      <w:pPr>
        <w:pStyle w:val="Bullet1"/>
      </w:pPr>
      <w:r w:rsidRPr="003F7FAE">
        <w:t>Introduction</w:t>
      </w:r>
      <w:r w:rsidR="007C1F31" w:rsidRPr="003F7FAE">
        <w:t xml:space="preserve"> </w:t>
      </w:r>
      <w:r w:rsidRPr="003F7FAE">
        <w:t>(1</w:t>
      </w:r>
      <w:r w:rsidR="00775EDB">
        <w:t>.5</w:t>
      </w:r>
      <w:r w:rsidRPr="003F7FAE">
        <w:t xml:space="preserve"> page</w:t>
      </w:r>
      <w:r w:rsidR="00775EDB">
        <w:t>s</w:t>
      </w:r>
      <w:r w:rsidRPr="003F7FAE">
        <w:t>)</w:t>
      </w:r>
    </w:p>
    <w:p w14:paraId="558D3F94" w14:textId="42CD52A3" w:rsidR="00775EDB" w:rsidRPr="009F732F" w:rsidRDefault="00775EDB" w:rsidP="009F732F">
      <w:pPr>
        <w:pStyle w:val="Bullet2"/>
      </w:pPr>
      <w:r w:rsidRPr="009F732F">
        <w:t>Explain the purpose, scope, and intended audience of the guidance.</w:t>
      </w:r>
    </w:p>
    <w:p w14:paraId="34C6F0DE" w14:textId="0ABCA375" w:rsidR="001E3854" w:rsidRDefault="00775EDB" w:rsidP="009F732F">
      <w:pPr>
        <w:pStyle w:val="Bullet2"/>
      </w:pPr>
      <w:r w:rsidRPr="009F732F">
        <w:t>Emphasi</w:t>
      </w:r>
      <w:r>
        <w:t>ze that</w:t>
      </w:r>
      <w:r w:rsidR="00ED66AB">
        <w:t>:</w:t>
      </w:r>
      <w:r>
        <w:t xml:space="preserve"> </w:t>
      </w:r>
      <w:r w:rsidR="001E3854">
        <w:tab/>
      </w:r>
    </w:p>
    <w:p w14:paraId="6405715D" w14:textId="3905699E" w:rsidR="004828C1" w:rsidRDefault="004828C1" w:rsidP="00481B34">
      <w:pPr>
        <w:pStyle w:val="Bullet3NoSpacing"/>
      </w:pPr>
      <w:r>
        <w:t xml:space="preserve">resilience is </w:t>
      </w:r>
      <w:r w:rsidRPr="00481B34">
        <w:t>complex</w:t>
      </w:r>
      <w:r>
        <w:t xml:space="preserve"> and has many facets,</w:t>
      </w:r>
    </w:p>
    <w:p w14:paraId="2686A66D" w14:textId="21EBF253" w:rsidR="001E3854" w:rsidRDefault="00775EDB" w:rsidP="00481B34">
      <w:pPr>
        <w:pStyle w:val="Bullet3NoSpacing"/>
      </w:pPr>
      <w:r>
        <w:t>everyone plays a role in strengthening resilience</w:t>
      </w:r>
      <w:r w:rsidR="00ED66AB">
        <w:t>,</w:t>
      </w:r>
      <w:r w:rsidR="004828C1">
        <w:t xml:space="preserve"> and</w:t>
      </w:r>
    </w:p>
    <w:p w14:paraId="37EB8BDC" w14:textId="1EF83F7C" w:rsidR="00775EDB" w:rsidRPr="00775EDB" w:rsidRDefault="001E3854" w:rsidP="00481B34">
      <w:pPr>
        <w:pStyle w:val="Bullet3NoSpacing"/>
      </w:pPr>
      <w:r>
        <w:t xml:space="preserve">resilience efforts </w:t>
      </w:r>
      <w:r w:rsidR="00AB004D">
        <w:t>must</w:t>
      </w:r>
      <w:r>
        <w:t xml:space="preserve"> address shocks and stressors</w:t>
      </w:r>
      <w:r w:rsidR="00775EDB">
        <w:t>.</w:t>
      </w:r>
    </w:p>
    <w:p w14:paraId="574403C9" w14:textId="38B3356E" w:rsidR="00E7156A" w:rsidRPr="003F7FAE" w:rsidRDefault="00E7156A" w:rsidP="00B2490E">
      <w:pPr>
        <w:pStyle w:val="Bullet1"/>
      </w:pPr>
      <w:r w:rsidRPr="003F7FAE">
        <w:t>Definition and Vision (</w:t>
      </w:r>
      <w:r w:rsidR="00020A2A">
        <w:t>1.5</w:t>
      </w:r>
      <w:r w:rsidRPr="003F7FAE">
        <w:t xml:space="preserve"> pages)</w:t>
      </w:r>
    </w:p>
    <w:p w14:paraId="58433D2C" w14:textId="3691DCD8" w:rsidR="00775EDB" w:rsidRDefault="00D8651F" w:rsidP="009F732F">
      <w:pPr>
        <w:pStyle w:val="Bullet2"/>
      </w:pPr>
      <w:r>
        <w:t xml:space="preserve">Define resilience </w:t>
      </w:r>
      <w:r w:rsidR="00775EDB">
        <w:t>(</w:t>
      </w:r>
      <w:r w:rsidR="00020A2A">
        <w:t>using the definition from the NSC’s National Resilience Plan</w:t>
      </w:r>
      <w:r w:rsidR="00775EDB">
        <w:t>).</w:t>
      </w:r>
    </w:p>
    <w:p w14:paraId="589B29BD" w14:textId="36E4114B" w:rsidR="00491AD2" w:rsidRDefault="00775EDB" w:rsidP="009F732F">
      <w:pPr>
        <w:pStyle w:val="Bullet2"/>
      </w:pPr>
      <w:r>
        <w:t>Describe a</w:t>
      </w:r>
      <w:r w:rsidR="00D8651F">
        <w:t xml:space="preserve"> vision </w:t>
      </w:r>
      <w:r w:rsidR="00E15AE9">
        <w:t>for resilience that highlights the characteristics of a resilient community</w:t>
      </w:r>
      <w:r w:rsidR="00020A2A">
        <w:t>.</w:t>
      </w:r>
      <w:r>
        <w:t xml:space="preserve"> </w:t>
      </w:r>
    </w:p>
    <w:p w14:paraId="331E566F" w14:textId="3634B092" w:rsidR="00020A2A" w:rsidRDefault="00DE7551" w:rsidP="00B2490E">
      <w:pPr>
        <w:pStyle w:val="Bullet1"/>
      </w:pPr>
      <w:r>
        <w:t>Principles</w:t>
      </w:r>
      <w:r w:rsidR="00020A2A">
        <w:t xml:space="preserve"> (4 pages)</w:t>
      </w:r>
    </w:p>
    <w:p w14:paraId="2380EB4C" w14:textId="67C83FEB" w:rsidR="00020A2A" w:rsidRDefault="006B4DC9" w:rsidP="009F732F">
      <w:pPr>
        <w:pStyle w:val="Bullet2"/>
      </w:pPr>
      <w:r>
        <w:t xml:space="preserve">Provide additional context </w:t>
      </w:r>
      <w:r w:rsidR="006C3DB1">
        <w:t>to the</w:t>
      </w:r>
      <w:r w:rsidR="00020A2A" w:rsidRPr="00020A2A">
        <w:t xml:space="preserve"> seven principles</w:t>
      </w:r>
      <w:r w:rsidR="00020A2A">
        <w:t xml:space="preserve"> </w:t>
      </w:r>
      <w:r>
        <w:t>in</w:t>
      </w:r>
      <w:r w:rsidR="00020A2A">
        <w:t xml:space="preserve"> the NSC’s National Resilience Plan</w:t>
      </w:r>
      <w:r w:rsidR="00020A2A" w:rsidRPr="00020A2A">
        <w:t xml:space="preserve"> </w:t>
      </w:r>
      <w:r w:rsidR="00020A2A">
        <w:t xml:space="preserve">and explain their role in strengthening resilience. </w:t>
      </w:r>
    </w:p>
    <w:p w14:paraId="0B4BB39A" w14:textId="226A46AD" w:rsidR="00020A2A" w:rsidRPr="00B2490E" w:rsidRDefault="00020A2A" w:rsidP="00481B34">
      <w:pPr>
        <w:pStyle w:val="Bullet3NoSpacing"/>
      </w:pPr>
      <w:r w:rsidRPr="00B2490E">
        <w:t>All Threats and Hazards</w:t>
      </w:r>
    </w:p>
    <w:p w14:paraId="6962136D" w14:textId="35B4B6E3" w:rsidR="00020A2A" w:rsidRPr="00B2490E" w:rsidRDefault="00020A2A" w:rsidP="00481B34">
      <w:pPr>
        <w:pStyle w:val="Bullet3NoSpacing"/>
      </w:pPr>
      <w:r w:rsidRPr="00B2490E">
        <w:t>People-Centered</w:t>
      </w:r>
    </w:p>
    <w:p w14:paraId="4BFE546B" w14:textId="3CCE2DE5" w:rsidR="00020A2A" w:rsidRPr="00B2490E" w:rsidRDefault="00020A2A" w:rsidP="00481B34">
      <w:pPr>
        <w:pStyle w:val="Bullet3NoSpacing"/>
      </w:pPr>
      <w:r w:rsidRPr="00B2490E">
        <w:t>Equitable</w:t>
      </w:r>
    </w:p>
    <w:p w14:paraId="05AF816F" w14:textId="4EC59C4C" w:rsidR="00020A2A" w:rsidRPr="00B2490E" w:rsidRDefault="00020A2A" w:rsidP="00481B34">
      <w:pPr>
        <w:pStyle w:val="Bullet3NoSpacing"/>
      </w:pPr>
      <w:r w:rsidRPr="00B2490E">
        <w:t>Adaptive</w:t>
      </w:r>
    </w:p>
    <w:p w14:paraId="2EEB9FD4" w14:textId="5C53C94E" w:rsidR="00020A2A" w:rsidRPr="00B2490E" w:rsidRDefault="00020A2A" w:rsidP="00481B34">
      <w:pPr>
        <w:pStyle w:val="Bullet3NoSpacing"/>
      </w:pPr>
      <w:r w:rsidRPr="00B2490E">
        <w:t>Collaborative</w:t>
      </w:r>
    </w:p>
    <w:p w14:paraId="67C441B9" w14:textId="3F2D1B6D" w:rsidR="00020A2A" w:rsidRPr="00B2490E" w:rsidRDefault="00020A2A" w:rsidP="00481B34">
      <w:pPr>
        <w:pStyle w:val="Bullet3NoSpacing"/>
      </w:pPr>
      <w:r w:rsidRPr="00B2490E">
        <w:t>Sustainable</w:t>
      </w:r>
    </w:p>
    <w:p w14:paraId="55220AD5" w14:textId="11F6C3F4" w:rsidR="00020A2A" w:rsidRPr="00B2490E" w:rsidRDefault="00020A2A" w:rsidP="00481B34">
      <w:pPr>
        <w:pStyle w:val="Bullet3NoSpacing"/>
      </w:pPr>
      <w:r w:rsidRPr="00B2490E">
        <w:t>Interdependent</w:t>
      </w:r>
    </w:p>
    <w:p w14:paraId="24DF5E6D" w14:textId="7F77EBC8" w:rsidR="00E06B65" w:rsidRPr="00775EDB" w:rsidRDefault="001548C7" w:rsidP="00B2490E">
      <w:pPr>
        <w:pStyle w:val="Bullet1"/>
      </w:pPr>
      <w:r w:rsidRPr="00DE7551">
        <w:t>Roles and Responsibilities</w:t>
      </w:r>
      <w:r w:rsidR="00E2339C">
        <w:t xml:space="preserve"> </w:t>
      </w:r>
      <w:r w:rsidR="00E2339C" w:rsidRPr="00775EDB">
        <w:t>(</w:t>
      </w:r>
      <w:r w:rsidR="00DE7551" w:rsidRPr="00775EDB">
        <w:t xml:space="preserve">8 </w:t>
      </w:r>
      <w:r w:rsidR="00E2339C" w:rsidRPr="00775EDB">
        <w:t>pages)</w:t>
      </w:r>
    </w:p>
    <w:p w14:paraId="466F540C" w14:textId="77777777" w:rsidR="00775EDB" w:rsidRPr="00775EDB" w:rsidRDefault="00775EDB" w:rsidP="009F732F">
      <w:pPr>
        <w:pStyle w:val="Bullet2"/>
      </w:pPr>
      <w:r w:rsidRPr="00775EDB">
        <w:t>Emphasize that everyone plays a role in strengthening resilience.</w:t>
      </w:r>
    </w:p>
    <w:p w14:paraId="37F81871" w14:textId="0E3830F0" w:rsidR="00775EDB" w:rsidRPr="00775EDB" w:rsidRDefault="00775EDB" w:rsidP="009F732F">
      <w:pPr>
        <w:pStyle w:val="Bullet2"/>
      </w:pPr>
      <w:r w:rsidRPr="00775EDB">
        <w:t xml:space="preserve">Describe the </w:t>
      </w:r>
      <w:r w:rsidR="006F42EA">
        <w:t>responsibilities</w:t>
      </w:r>
      <w:r w:rsidR="006F42EA" w:rsidRPr="00775EDB">
        <w:t xml:space="preserve"> </w:t>
      </w:r>
      <w:r w:rsidRPr="00775EDB">
        <w:t xml:space="preserve">of the following </w:t>
      </w:r>
      <w:r w:rsidR="006F42EA">
        <w:t xml:space="preserve">roles </w:t>
      </w:r>
      <w:r w:rsidRPr="00775EDB">
        <w:t>in strengthening resilience:</w:t>
      </w:r>
    </w:p>
    <w:p w14:paraId="43CE76D9" w14:textId="77777777" w:rsidR="00775EDB" w:rsidRPr="00775EDB" w:rsidRDefault="00775EDB" w:rsidP="00481B34">
      <w:pPr>
        <w:pStyle w:val="Bullet3NoSpacing"/>
      </w:pPr>
      <w:r w:rsidRPr="00775EDB">
        <w:t>Individuals, Families, Households, and Communities</w:t>
      </w:r>
    </w:p>
    <w:p w14:paraId="62B24DD4" w14:textId="77777777" w:rsidR="00775EDB" w:rsidRPr="00775EDB" w:rsidRDefault="00775EDB" w:rsidP="00481B34">
      <w:pPr>
        <w:pStyle w:val="Bullet3NoSpacing"/>
      </w:pPr>
      <w:r w:rsidRPr="00775EDB">
        <w:t>Government (Federal, State, Local, Tribal, and Territorial)</w:t>
      </w:r>
    </w:p>
    <w:p w14:paraId="6D60A68A" w14:textId="77777777" w:rsidR="00775EDB" w:rsidRPr="00775EDB" w:rsidRDefault="00775EDB" w:rsidP="00481B34">
      <w:pPr>
        <w:pStyle w:val="Bullet3NoSpacing"/>
      </w:pPr>
      <w:r w:rsidRPr="00775EDB">
        <w:t>Non-governmental Organizations</w:t>
      </w:r>
    </w:p>
    <w:p w14:paraId="2FE1E4E2" w14:textId="77777777" w:rsidR="00775EDB" w:rsidRPr="00775EDB" w:rsidRDefault="00775EDB" w:rsidP="00481B34">
      <w:pPr>
        <w:pStyle w:val="Bullet3NoSpacing"/>
      </w:pPr>
      <w:r w:rsidRPr="00775EDB">
        <w:t>Businesses</w:t>
      </w:r>
    </w:p>
    <w:p w14:paraId="3CABD892" w14:textId="1FF9B54B" w:rsidR="00B2490E" w:rsidRDefault="00775EDB" w:rsidP="009F732F">
      <w:pPr>
        <w:pStyle w:val="Bullet2"/>
      </w:pPr>
      <w:r w:rsidRPr="00775EDB">
        <w:t xml:space="preserve">Provide examples of the responsibilities that various organizations often have related to resilience, structured around </w:t>
      </w:r>
      <w:r w:rsidR="006C3DB1">
        <w:t xml:space="preserve">five </w:t>
      </w:r>
      <w:r w:rsidR="00B2490E">
        <w:t>resilience</w:t>
      </w:r>
      <w:r w:rsidR="00B2490E" w:rsidRPr="00B2490E">
        <w:t xml:space="preserve"> </w:t>
      </w:r>
      <w:r w:rsidR="0059552D">
        <w:t>focus areas/categories</w:t>
      </w:r>
      <w:r w:rsidR="00B2490E">
        <w:t xml:space="preserve"> </w:t>
      </w:r>
      <w:r w:rsidR="00B2490E" w:rsidRPr="00B2490E">
        <w:t xml:space="preserve">– </w:t>
      </w:r>
      <w:r w:rsidR="006B4DC9">
        <w:t xml:space="preserve">(1) </w:t>
      </w:r>
      <w:r w:rsidR="003236ED">
        <w:t xml:space="preserve">community and </w:t>
      </w:r>
      <w:r w:rsidR="00B2490E" w:rsidRPr="00B2490E">
        <w:t>social</w:t>
      </w:r>
      <w:r w:rsidR="003236ED">
        <w:t xml:space="preserve"> systems</w:t>
      </w:r>
      <w:r w:rsidR="00B2490E" w:rsidRPr="00B2490E">
        <w:t xml:space="preserve">, </w:t>
      </w:r>
      <w:r w:rsidR="006B4DC9">
        <w:t xml:space="preserve">(2) </w:t>
      </w:r>
      <w:r w:rsidR="002F4D7B" w:rsidRPr="00B2490E">
        <w:t>econom</w:t>
      </w:r>
      <w:r w:rsidR="002F4D7B">
        <w:t>y and financial</w:t>
      </w:r>
      <w:r w:rsidR="00B2490E" w:rsidRPr="00B2490E">
        <w:t>,</w:t>
      </w:r>
      <w:r w:rsidR="002F4D7B">
        <w:t xml:space="preserve"> </w:t>
      </w:r>
      <w:r w:rsidR="006B4DC9">
        <w:t xml:space="preserve">(3) </w:t>
      </w:r>
      <w:r w:rsidR="002F4D7B">
        <w:t>environment</w:t>
      </w:r>
      <w:r w:rsidR="00B2490E" w:rsidRPr="00B2490E">
        <w:t xml:space="preserve">, </w:t>
      </w:r>
      <w:r w:rsidR="006B4DC9">
        <w:t xml:space="preserve">(4) </w:t>
      </w:r>
      <w:r w:rsidR="00B2490E" w:rsidRPr="00B2490E">
        <w:t>infrastructure</w:t>
      </w:r>
      <w:r w:rsidR="002F4D7B">
        <w:t xml:space="preserve"> and housing</w:t>
      </w:r>
      <w:r w:rsidR="00B2490E" w:rsidRPr="00B2490E">
        <w:t>,</w:t>
      </w:r>
      <w:r w:rsidR="002F4D7B">
        <w:t xml:space="preserve"> </w:t>
      </w:r>
      <w:r w:rsidR="006B4DC9">
        <w:t xml:space="preserve">(5) </w:t>
      </w:r>
      <w:r w:rsidR="002F4D7B">
        <w:t>and</w:t>
      </w:r>
      <w:r w:rsidR="00B2490E" w:rsidRPr="00B2490E">
        <w:t xml:space="preserve"> institution</w:t>
      </w:r>
      <w:r w:rsidR="002F4D7B">
        <w:t>s</w:t>
      </w:r>
      <w:r w:rsidR="006C3DB1">
        <w:t xml:space="preserve"> – adapted from the </w:t>
      </w:r>
      <w:r w:rsidR="006C3DB1" w:rsidRPr="006C3DB1">
        <w:t>County Baseline Indicators for Communities Index (CBRIC)</w:t>
      </w:r>
      <w:r w:rsidR="006C3DB1">
        <w:t>,</w:t>
      </w:r>
      <w:r w:rsidR="006C3DB1" w:rsidRPr="006C3DB1">
        <w:t xml:space="preserve"> a long standing, peer-reviewed resilience index</w:t>
      </w:r>
      <w:r w:rsidR="006C3DB1">
        <w:t>.</w:t>
      </w:r>
    </w:p>
    <w:p w14:paraId="10D60127" w14:textId="77777777" w:rsidR="009F732F" w:rsidRDefault="00775EDB" w:rsidP="0070640B">
      <w:pPr>
        <w:pStyle w:val="Bullet2"/>
      </w:pPr>
      <w:r w:rsidRPr="00775EDB">
        <w:t>Describe</w:t>
      </w:r>
      <w:r w:rsidR="009F732F">
        <w:t xml:space="preserve"> the</w:t>
      </w:r>
      <w:r w:rsidRPr="00775EDB">
        <w:t xml:space="preserve"> </w:t>
      </w:r>
      <w:r w:rsidR="00E17745">
        <w:t>importance of</w:t>
      </w:r>
      <w:r w:rsidRPr="00775EDB">
        <w:t xml:space="preserve"> leadership in resilience efforts</w:t>
      </w:r>
      <w:r w:rsidR="00E17745">
        <w:t xml:space="preserve"> including the </w:t>
      </w:r>
      <w:r w:rsidR="001653E5">
        <w:t>relationship between</w:t>
      </w:r>
      <w:r w:rsidRPr="00775EDB">
        <w:t xml:space="preserve"> </w:t>
      </w:r>
      <w:r w:rsidR="00235195" w:rsidRPr="00775EDB">
        <w:t>c</w:t>
      </w:r>
      <w:r w:rsidR="00235195">
        <w:t xml:space="preserve">hief </w:t>
      </w:r>
      <w:r w:rsidRPr="00775EDB">
        <w:t>resilience officers (CRO)s and emergency managers.</w:t>
      </w:r>
      <w:r w:rsidR="00BF0FAA" w:rsidRPr="00BF0FAA">
        <w:t xml:space="preserve"> </w:t>
      </w:r>
    </w:p>
    <w:p w14:paraId="4F448332" w14:textId="645CD568" w:rsidR="00775EDB" w:rsidRDefault="00BF0FAA" w:rsidP="0070640B">
      <w:pPr>
        <w:pStyle w:val="Bullet2"/>
      </w:pPr>
      <w:r w:rsidRPr="00775EDB">
        <w:t>Highlight the importance of leveraging both formal and informal networks.</w:t>
      </w:r>
      <w:r w:rsidR="006C3DB1">
        <w:br/>
      </w:r>
      <w:r w:rsidR="006C3DB1">
        <w:br/>
      </w:r>
      <w:r w:rsidR="006C3DB1">
        <w:br/>
      </w:r>
    </w:p>
    <w:p w14:paraId="0137A66F" w14:textId="77777777" w:rsidR="00DE7551" w:rsidRPr="00DE7551" w:rsidRDefault="00DE7551" w:rsidP="00B2490E">
      <w:pPr>
        <w:pStyle w:val="Bullet1"/>
      </w:pPr>
      <w:r w:rsidRPr="00DE7551">
        <w:lastRenderedPageBreak/>
        <w:t>How to Strengthen Resilience</w:t>
      </w:r>
    </w:p>
    <w:p w14:paraId="4EF8A765" w14:textId="70A08A7B" w:rsidR="00DE7551" w:rsidRPr="00B2490E" w:rsidRDefault="00DE7551" w:rsidP="009F732F">
      <w:pPr>
        <w:pStyle w:val="Bullet2"/>
      </w:pPr>
      <w:r w:rsidRPr="00B2490E">
        <w:t xml:space="preserve">Organizing and Engaging People </w:t>
      </w:r>
      <w:r w:rsidR="00B2490E">
        <w:t>(4 pages)</w:t>
      </w:r>
    </w:p>
    <w:p w14:paraId="05E302F1" w14:textId="2DE9A424" w:rsidR="00775EDB" w:rsidRPr="00775EDB" w:rsidRDefault="00775EDB" w:rsidP="00421BC3">
      <w:pPr>
        <w:pStyle w:val="Bullet3"/>
      </w:pPr>
      <w:r w:rsidRPr="00775EDB">
        <w:t>Discuss how to build a resilience team/coalition.</w:t>
      </w:r>
    </w:p>
    <w:p w14:paraId="70F47CDD" w14:textId="77777777" w:rsidR="00775EDB" w:rsidRPr="00775EDB" w:rsidRDefault="00775EDB" w:rsidP="00421BC3">
      <w:pPr>
        <w:pStyle w:val="Bullet3"/>
      </w:pPr>
      <w:r w:rsidRPr="00775EDB">
        <w:t>Describe various organizational approaches for resilience efforts, such as Hub and Spoke; Task Force/Advisory Committee/Commissions; Core Team and Working Groups.</w:t>
      </w:r>
    </w:p>
    <w:p w14:paraId="6E6715A8" w14:textId="084CEC70" w:rsidR="00775EDB" w:rsidRPr="00775EDB" w:rsidRDefault="00775EDB" w:rsidP="00421BC3">
      <w:pPr>
        <w:pStyle w:val="Bullet3"/>
      </w:pPr>
      <w:r w:rsidRPr="00775EDB">
        <w:t xml:space="preserve">Discuss how to effectively build partnerships and engage the community, including the importance of </w:t>
      </w:r>
      <w:r w:rsidR="00922BBE">
        <w:t xml:space="preserve">meaningful </w:t>
      </w:r>
      <w:r w:rsidRPr="00775EDB">
        <w:t xml:space="preserve">participation in decision making, and the importance of social capital and strong community networks in increasing resilience. </w:t>
      </w:r>
    </w:p>
    <w:p w14:paraId="69D562CF" w14:textId="77777777" w:rsidR="00FB2F03" w:rsidRPr="00B2490E" w:rsidRDefault="00FB2F03" w:rsidP="009F732F">
      <w:pPr>
        <w:pStyle w:val="Bullet2"/>
      </w:pPr>
      <w:r w:rsidRPr="00B2490E">
        <w:t>Strengthening Resilience Through Policy</w:t>
      </w:r>
      <w:r>
        <w:t xml:space="preserve"> (4 pages)</w:t>
      </w:r>
      <w:r w:rsidRPr="00B2490E">
        <w:t xml:space="preserve"> </w:t>
      </w:r>
    </w:p>
    <w:p w14:paraId="3A3C8ACC" w14:textId="77777777" w:rsidR="00FB2F03" w:rsidRPr="00775EDB" w:rsidRDefault="00FB2F03" w:rsidP="00421BC3">
      <w:pPr>
        <w:pStyle w:val="Bullet3"/>
      </w:pPr>
      <w:r w:rsidRPr="00775EDB">
        <w:t xml:space="preserve">Discuss how policies at all levels of government can be used to build or enhance community resilience. </w:t>
      </w:r>
    </w:p>
    <w:p w14:paraId="3FA587A8" w14:textId="63D5F335" w:rsidR="00FB2F03" w:rsidRPr="00775EDB" w:rsidRDefault="00FB2F03" w:rsidP="00421BC3">
      <w:pPr>
        <w:pStyle w:val="Bullet3"/>
      </w:pPr>
      <w:r w:rsidRPr="00775EDB">
        <w:t xml:space="preserve">Explain how to </w:t>
      </w:r>
      <w:r>
        <w:t xml:space="preserve">consider resilience in decision-making </w:t>
      </w:r>
      <w:r w:rsidR="00267701">
        <w:t xml:space="preserve">processes </w:t>
      </w:r>
      <w:r>
        <w:t xml:space="preserve">and </w:t>
      </w:r>
      <w:r w:rsidRPr="00775EDB">
        <w:t xml:space="preserve">assess policies to determine positive/neutral/negative impact on resilience. </w:t>
      </w:r>
    </w:p>
    <w:p w14:paraId="4C51FFD0" w14:textId="77777777" w:rsidR="00FB2F03" w:rsidRPr="00DE7551" w:rsidRDefault="00FB2F03" w:rsidP="00421BC3">
      <w:pPr>
        <w:pStyle w:val="Bullet3"/>
      </w:pPr>
      <w:r w:rsidRPr="00775EDB">
        <w:t>Provide examples of different types of policies and how they impact resilience.</w:t>
      </w:r>
    </w:p>
    <w:p w14:paraId="343ABAF0" w14:textId="002B7A3D" w:rsidR="00DE7551" w:rsidRPr="00B2490E" w:rsidRDefault="00DE7551" w:rsidP="009F732F">
      <w:pPr>
        <w:pStyle w:val="Bullet2"/>
      </w:pPr>
      <w:r w:rsidRPr="00B2490E">
        <w:t xml:space="preserve">Planning for Resilience </w:t>
      </w:r>
      <w:r w:rsidR="00B2490E">
        <w:t>(4 pages)</w:t>
      </w:r>
    </w:p>
    <w:p w14:paraId="138368EE" w14:textId="77777777" w:rsidR="00865BD9" w:rsidRPr="00775EDB" w:rsidRDefault="00865BD9" w:rsidP="00421BC3">
      <w:pPr>
        <w:pStyle w:val="Bullet3"/>
      </w:pPr>
      <w:r w:rsidRPr="00775EDB">
        <w:t>Discuss various approaches, including stand-alone versus integrated plans.</w:t>
      </w:r>
    </w:p>
    <w:p w14:paraId="5CD7B306" w14:textId="1245CDF0" w:rsidR="00775EDB" w:rsidRPr="00775EDB" w:rsidRDefault="00775EDB" w:rsidP="00421BC3">
      <w:pPr>
        <w:pStyle w:val="Bullet3"/>
      </w:pPr>
      <w:r w:rsidRPr="00775EDB">
        <w:t xml:space="preserve">Discuss how jurisdictions can </w:t>
      </w:r>
      <w:r w:rsidR="00C8502F">
        <w:t>apply</w:t>
      </w:r>
      <w:r w:rsidR="00C8502F" w:rsidRPr="00775EDB">
        <w:t xml:space="preserve"> </w:t>
      </w:r>
      <w:r w:rsidRPr="00775EDB">
        <w:t xml:space="preserve">resilience </w:t>
      </w:r>
      <w:r w:rsidR="00C8502F">
        <w:t>thinking to the planning process</w:t>
      </w:r>
      <w:r w:rsidR="00C8502F" w:rsidRPr="00775EDB">
        <w:t xml:space="preserve"> </w:t>
      </w:r>
      <w:r w:rsidRPr="00775EDB">
        <w:t xml:space="preserve">and incorporate resilience </w:t>
      </w:r>
      <w:r w:rsidR="00C8502F">
        <w:t xml:space="preserve">concepts </w:t>
      </w:r>
      <w:r w:rsidRPr="00775EDB">
        <w:t>(vision, principles, etc.) into their planning efforts (emergency management and beyond).</w:t>
      </w:r>
    </w:p>
    <w:p w14:paraId="5EFE6C8C" w14:textId="01C0DF85" w:rsidR="00DE7551" w:rsidRPr="00B2490E" w:rsidRDefault="00DE7551" w:rsidP="009F732F">
      <w:pPr>
        <w:pStyle w:val="Bullet2"/>
      </w:pPr>
      <w:r w:rsidRPr="00B2490E">
        <w:t>Selecting Resilience Projects</w:t>
      </w:r>
      <w:r w:rsidR="00B2490E">
        <w:t xml:space="preserve"> (4 pages)</w:t>
      </w:r>
    </w:p>
    <w:p w14:paraId="3DEE8CD4" w14:textId="73B9BC14" w:rsidR="00775EDB" w:rsidRPr="00775EDB" w:rsidRDefault="00775EDB" w:rsidP="00421BC3">
      <w:pPr>
        <w:pStyle w:val="Bullet3"/>
      </w:pPr>
      <w:r w:rsidRPr="00775EDB">
        <w:t xml:space="preserve">Describe how to identify projects </w:t>
      </w:r>
      <w:r w:rsidR="001446A9" w:rsidRPr="00775EDB">
        <w:t>tha</w:t>
      </w:r>
      <w:r w:rsidR="001446A9">
        <w:t>t</w:t>
      </w:r>
      <w:r w:rsidR="001446A9" w:rsidRPr="00775EDB">
        <w:t xml:space="preserve"> </w:t>
      </w:r>
      <w:r w:rsidRPr="00775EDB">
        <w:t xml:space="preserve">can increase resilience, </w:t>
      </w:r>
      <w:r w:rsidR="0005093D">
        <w:t>including</w:t>
      </w:r>
      <w:r w:rsidRPr="00775EDB">
        <w:t xml:space="preserve"> addressing both shocks and stressors.</w:t>
      </w:r>
    </w:p>
    <w:p w14:paraId="201E4453" w14:textId="77777777" w:rsidR="001446A9" w:rsidRPr="00DE7551" w:rsidRDefault="001446A9" w:rsidP="00421BC3">
      <w:pPr>
        <w:pStyle w:val="Bullet3"/>
      </w:pPr>
      <w:r w:rsidRPr="00775EDB">
        <w:t>Provide examples of different types of resilience projects.</w:t>
      </w:r>
    </w:p>
    <w:p w14:paraId="039D6D26" w14:textId="77777777" w:rsidR="00775EDB" w:rsidRPr="00775EDB" w:rsidRDefault="00775EDB" w:rsidP="00421BC3">
      <w:pPr>
        <w:pStyle w:val="Bullet3"/>
      </w:pPr>
      <w:r w:rsidRPr="00775EDB">
        <w:t>Discuss project selection/prioritization approaches, including the importance of achieving multiple benefits.</w:t>
      </w:r>
    </w:p>
    <w:p w14:paraId="61972F0B" w14:textId="20D54E83" w:rsidR="00DE7551" w:rsidRPr="00B2490E" w:rsidRDefault="00DE7551" w:rsidP="009F732F">
      <w:pPr>
        <w:pStyle w:val="Bullet2"/>
      </w:pPr>
      <w:r w:rsidRPr="00B2490E">
        <w:t>Financing Resilience Efforts</w:t>
      </w:r>
      <w:r w:rsidR="00B2490E">
        <w:t xml:space="preserve"> (1.5 pages)</w:t>
      </w:r>
    </w:p>
    <w:p w14:paraId="3FDD04FD" w14:textId="08520573" w:rsidR="00775EDB" w:rsidRPr="00421BC3" w:rsidRDefault="00775EDB" w:rsidP="00421BC3">
      <w:pPr>
        <w:pStyle w:val="Bullet3"/>
      </w:pPr>
      <w:r w:rsidRPr="00421BC3">
        <w:t xml:space="preserve">Describe successful models for </w:t>
      </w:r>
      <w:r w:rsidR="00FB3CD9" w:rsidRPr="00421BC3">
        <w:t xml:space="preserve">accessing capital and </w:t>
      </w:r>
      <w:r w:rsidRPr="00421BC3">
        <w:t>financing resilience priorities, including:</w:t>
      </w:r>
    </w:p>
    <w:p w14:paraId="1D1529D1" w14:textId="4BF42806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Budget</w:t>
      </w:r>
      <w:r w:rsidR="00FB3CD9">
        <w:t>s</w:t>
      </w:r>
    </w:p>
    <w:p w14:paraId="4FF1EA7A" w14:textId="77777777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Grants</w:t>
      </w:r>
    </w:p>
    <w:p w14:paraId="0EBD22F7" w14:textId="77777777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Fees/Assessments</w:t>
      </w:r>
    </w:p>
    <w:p w14:paraId="08F30CA4" w14:textId="77777777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Loans</w:t>
      </w:r>
    </w:p>
    <w:p w14:paraId="6F3897D0" w14:textId="77777777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Bonds</w:t>
      </w:r>
    </w:p>
    <w:p w14:paraId="6924F528" w14:textId="77777777" w:rsidR="00775EDB" w:rsidRPr="00775EDB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Insurance</w:t>
      </w:r>
    </w:p>
    <w:p w14:paraId="17103972" w14:textId="49DDDD44" w:rsidR="00775EDB" w:rsidRPr="00DE7551" w:rsidRDefault="00775EDB" w:rsidP="00481B34">
      <w:pPr>
        <w:pStyle w:val="Bullet4"/>
        <w:numPr>
          <w:ilvl w:val="3"/>
          <w:numId w:val="2"/>
        </w:numPr>
        <w:ind w:left="1800"/>
      </w:pPr>
      <w:r w:rsidRPr="00775EDB">
        <w:t>Public-Private Partnerships</w:t>
      </w:r>
    </w:p>
    <w:p w14:paraId="5EC7C00E" w14:textId="18A77FF3" w:rsidR="00E7156A" w:rsidRPr="00B2490E" w:rsidRDefault="00DE7551" w:rsidP="009F732F">
      <w:pPr>
        <w:pStyle w:val="Bullet2"/>
      </w:pPr>
      <w:r w:rsidRPr="00B2490E">
        <w:t>Measuring Resilience</w:t>
      </w:r>
      <w:r w:rsidR="00B2490E">
        <w:t xml:space="preserve"> (1.5 pages)</w:t>
      </w:r>
    </w:p>
    <w:p w14:paraId="147C0519" w14:textId="5CCB426E" w:rsidR="00775EDB" w:rsidRPr="00775EDB" w:rsidRDefault="00775EDB" w:rsidP="00421BC3">
      <w:pPr>
        <w:pStyle w:val="Bullet3"/>
      </w:pPr>
      <w:r w:rsidRPr="00775EDB">
        <w:t>Briefly explain the role/importance of measurement.</w:t>
      </w:r>
    </w:p>
    <w:p w14:paraId="015468BD" w14:textId="742CAB1E" w:rsidR="00473183" w:rsidRDefault="00775EDB" w:rsidP="00421BC3">
      <w:pPr>
        <w:pStyle w:val="Bullet3"/>
      </w:pPr>
      <w:r w:rsidRPr="00775EDB">
        <w:t xml:space="preserve">Describe the different types of measures that </w:t>
      </w:r>
      <w:r w:rsidR="00B356AE">
        <w:t>communities could use to measure resilience</w:t>
      </w:r>
      <w:r w:rsidRPr="00775EDB">
        <w:t>.</w:t>
      </w:r>
    </w:p>
    <w:p w14:paraId="52ADBA4F" w14:textId="0F4521D7" w:rsidR="00B2490E" w:rsidRDefault="00B2490E" w:rsidP="00B2490E">
      <w:pPr>
        <w:pStyle w:val="Bullet1"/>
      </w:pPr>
      <w:r>
        <w:t>Conclusion (1 page)</w:t>
      </w:r>
    </w:p>
    <w:p w14:paraId="54318C0D" w14:textId="03CB0D05" w:rsidR="00421BC3" w:rsidRPr="00775EDB" w:rsidRDefault="00421BC3" w:rsidP="00B2490E">
      <w:pPr>
        <w:pStyle w:val="Bullet1"/>
      </w:pPr>
      <w:r>
        <w:t>Appendix A – Maturity Model</w:t>
      </w:r>
    </w:p>
    <w:sectPr w:rsidR="00421BC3" w:rsidRPr="00775EDB" w:rsidSect="006C3DB1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DA8A" w14:textId="77777777" w:rsidR="00EF1680" w:rsidRDefault="00EF1680" w:rsidP="00E824A3">
      <w:pPr>
        <w:spacing w:after="0" w:line="240" w:lineRule="auto"/>
      </w:pPr>
      <w:r>
        <w:separator/>
      </w:r>
    </w:p>
  </w:endnote>
  <w:endnote w:type="continuationSeparator" w:id="0">
    <w:p w14:paraId="4744819B" w14:textId="77777777" w:rsidR="00EF1680" w:rsidRDefault="00EF1680" w:rsidP="00E824A3">
      <w:pPr>
        <w:spacing w:after="0" w:line="240" w:lineRule="auto"/>
      </w:pPr>
      <w:r>
        <w:continuationSeparator/>
      </w:r>
    </w:p>
  </w:endnote>
  <w:endnote w:type="continuationNotice" w:id="1">
    <w:p w14:paraId="1765E4EA" w14:textId="77777777" w:rsidR="00EF1680" w:rsidRDefault="00EF1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CA56" w14:textId="77777777" w:rsidR="00EF1680" w:rsidRDefault="00EF1680" w:rsidP="00E824A3">
      <w:pPr>
        <w:spacing w:after="0" w:line="240" w:lineRule="auto"/>
      </w:pPr>
      <w:r>
        <w:separator/>
      </w:r>
    </w:p>
  </w:footnote>
  <w:footnote w:type="continuationSeparator" w:id="0">
    <w:p w14:paraId="551577A4" w14:textId="77777777" w:rsidR="00EF1680" w:rsidRDefault="00EF1680" w:rsidP="00E824A3">
      <w:pPr>
        <w:spacing w:after="0" w:line="240" w:lineRule="auto"/>
      </w:pPr>
      <w:r>
        <w:continuationSeparator/>
      </w:r>
    </w:p>
  </w:footnote>
  <w:footnote w:type="continuationNotice" w:id="1">
    <w:p w14:paraId="79DA5186" w14:textId="77777777" w:rsidR="00EF1680" w:rsidRDefault="00EF1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4824"/>
      <w:docPartObj>
        <w:docPartGallery w:val="Watermarks"/>
        <w:docPartUnique/>
      </w:docPartObj>
    </w:sdtPr>
    <w:sdtContent>
      <w:p w14:paraId="42EBBE6C" w14:textId="3C32AA63" w:rsidR="00E824A3" w:rsidRDefault="00000000">
        <w:pPr>
          <w:pStyle w:val="Header"/>
        </w:pPr>
        <w:r>
          <w:rPr>
            <w:noProof/>
          </w:rPr>
          <w:pict w14:anchorId="56989B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FC6"/>
    <w:multiLevelType w:val="hybridMultilevel"/>
    <w:tmpl w:val="2CA66756"/>
    <w:lvl w:ilvl="0" w:tplc="E1D2D37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46BEDC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EC020">
      <w:start w:val="1"/>
      <w:numFmt w:val="bullet"/>
      <w:pStyle w:val="Bullet3NoSpacing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761B17"/>
    <w:multiLevelType w:val="hybridMultilevel"/>
    <w:tmpl w:val="E80A6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865E8">
      <w:numFmt w:val="bullet"/>
      <w:lvlText w:val="-"/>
      <w:lvlJc w:val="left"/>
      <w:pPr>
        <w:ind w:left="2520" w:hanging="360"/>
      </w:pPr>
      <w:rPr>
        <w:rFonts w:ascii="Franklin Gothic Book" w:eastAsiaTheme="minorHAnsi" w:hAnsi="Franklin Gothic Book" w:cstheme="minorBidi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25953">
    <w:abstractNumId w:val="0"/>
  </w:num>
  <w:num w:numId="2" w16cid:durableId="1964966420">
    <w:abstractNumId w:val="1"/>
  </w:num>
  <w:num w:numId="3" w16cid:durableId="1129978175">
    <w:abstractNumId w:val="0"/>
  </w:num>
  <w:num w:numId="4" w16cid:durableId="52128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6A"/>
    <w:rsid w:val="00020A2A"/>
    <w:rsid w:val="0005093D"/>
    <w:rsid w:val="000576EA"/>
    <w:rsid w:val="00090E97"/>
    <w:rsid w:val="000C01AA"/>
    <w:rsid w:val="000C01DB"/>
    <w:rsid w:val="00130263"/>
    <w:rsid w:val="001446A9"/>
    <w:rsid w:val="001548C7"/>
    <w:rsid w:val="00156CA4"/>
    <w:rsid w:val="001653E5"/>
    <w:rsid w:val="00180D24"/>
    <w:rsid w:val="00191EEB"/>
    <w:rsid w:val="00191FDF"/>
    <w:rsid w:val="00196E81"/>
    <w:rsid w:val="001D2240"/>
    <w:rsid w:val="001E3854"/>
    <w:rsid w:val="00204408"/>
    <w:rsid w:val="002246F6"/>
    <w:rsid w:val="00235195"/>
    <w:rsid w:val="00251F79"/>
    <w:rsid w:val="00267701"/>
    <w:rsid w:val="0028026C"/>
    <w:rsid w:val="00291B7C"/>
    <w:rsid w:val="002A3CFC"/>
    <w:rsid w:val="002B4AC8"/>
    <w:rsid w:val="002F4D7B"/>
    <w:rsid w:val="003236ED"/>
    <w:rsid w:val="00341DD6"/>
    <w:rsid w:val="003502AD"/>
    <w:rsid w:val="00352109"/>
    <w:rsid w:val="00371418"/>
    <w:rsid w:val="003A2531"/>
    <w:rsid w:val="003A4807"/>
    <w:rsid w:val="003F1205"/>
    <w:rsid w:val="003F7FAE"/>
    <w:rsid w:val="00421BC3"/>
    <w:rsid w:val="00473183"/>
    <w:rsid w:val="00481B34"/>
    <w:rsid w:val="004828C1"/>
    <w:rsid w:val="00491AD2"/>
    <w:rsid w:val="004A51A5"/>
    <w:rsid w:val="004E09F0"/>
    <w:rsid w:val="004F7B7D"/>
    <w:rsid w:val="005379AC"/>
    <w:rsid w:val="00541B13"/>
    <w:rsid w:val="00544379"/>
    <w:rsid w:val="0059552D"/>
    <w:rsid w:val="005A153E"/>
    <w:rsid w:val="005A1C2C"/>
    <w:rsid w:val="005C036B"/>
    <w:rsid w:val="005E0875"/>
    <w:rsid w:val="0063714F"/>
    <w:rsid w:val="00662847"/>
    <w:rsid w:val="006809AE"/>
    <w:rsid w:val="00683647"/>
    <w:rsid w:val="00686C53"/>
    <w:rsid w:val="006B4DC9"/>
    <w:rsid w:val="006B5049"/>
    <w:rsid w:val="006B5E18"/>
    <w:rsid w:val="006C0ACA"/>
    <w:rsid w:val="006C3DB1"/>
    <w:rsid w:val="006D7CF5"/>
    <w:rsid w:val="006F42EA"/>
    <w:rsid w:val="006F65E3"/>
    <w:rsid w:val="006F701B"/>
    <w:rsid w:val="007031ED"/>
    <w:rsid w:val="0070640B"/>
    <w:rsid w:val="007549D6"/>
    <w:rsid w:val="00764F5A"/>
    <w:rsid w:val="00775EDB"/>
    <w:rsid w:val="00780AAD"/>
    <w:rsid w:val="007C1F31"/>
    <w:rsid w:val="007D78A5"/>
    <w:rsid w:val="007F022A"/>
    <w:rsid w:val="00846ED9"/>
    <w:rsid w:val="00865BD9"/>
    <w:rsid w:val="008B0DBA"/>
    <w:rsid w:val="008B22D8"/>
    <w:rsid w:val="008C253B"/>
    <w:rsid w:val="00913384"/>
    <w:rsid w:val="00922BBE"/>
    <w:rsid w:val="00946BF9"/>
    <w:rsid w:val="009945BE"/>
    <w:rsid w:val="009A2440"/>
    <w:rsid w:val="009C4C5D"/>
    <w:rsid w:val="009C78A4"/>
    <w:rsid w:val="009E5F1E"/>
    <w:rsid w:val="009F5FA0"/>
    <w:rsid w:val="009F732F"/>
    <w:rsid w:val="00A75392"/>
    <w:rsid w:val="00AA428C"/>
    <w:rsid w:val="00AB004D"/>
    <w:rsid w:val="00AE0B4A"/>
    <w:rsid w:val="00AE429F"/>
    <w:rsid w:val="00B16A16"/>
    <w:rsid w:val="00B223A4"/>
    <w:rsid w:val="00B2490E"/>
    <w:rsid w:val="00B356AE"/>
    <w:rsid w:val="00B562F5"/>
    <w:rsid w:val="00B57158"/>
    <w:rsid w:val="00B578FE"/>
    <w:rsid w:val="00B64560"/>
    <w:rsid w:val="00B81E43"/>
    <w:rsid w:val="00BC6A63"/>
    <w:rsid w:val="00BE770E"/>
    <w:rsid w:val="00BF0FAA"/>
    <w:rsid w:val="00BF683D"/>
    <w:rsid w:val="00C50286"/>
    <w:rsid w:val="00C652F7"/>
    <w:rsid w:val="00C747A5"/>
    <w:rsid w:val="00C7652D"/>
    <w:rsid w:val="00C8502F"/>
    <w:rsid w:val="00CC61ED"/>
    <w:rsid w:val="00CC6A4D"/>
    <w:rsid w:val="00CC71D4"/>
    <w:rsid w:val="00CD6E34"/>
    <w:rsid w:val="00D102AE"/>
    <w:rsid w:val="00D27024"/>
    <w:rsid w:val="00D34A0A"/>
    <w:rsid w:val="00D6561E"/>
    <w:rsid w:val="00D8651F"/>
    <w:rsid w:val="00D93DEF"/>
    <w:rsid w:val="00DC5E0E"/>
    <w:rsid w:val="00DC653F"/>
    <w:rsid w:val="00DE7551"/>
    <w:rsid w:val="00DF36E1"/>
    <w:rsid w:val="00E04F55"/>
    <w:rsid w:val="00E06B65"/>
    <w:rsid w:val="00E12E70"/>
    <w:rsid w:val="00E15AE9"/>
    <w:rsid w:val="00E17745"/>
    <w:rsid w:val="00E2339C"/>
    <w:rsid w:val="00E34ECB"/>
    <w:rsid w:val="00E51D21"/>
    <w:rsid w:val="00E7156A"/>
    <w:rsid w:val="00E73F4C"/>
    <w:rsid w:val="00E824A3"/>
    <w:rsid w:val="00ED58C3"/>
    <w:rsid w:val="00ED66AB"/>
    <w:rsid w:val="00EF1680"/>
    <w:rsid w:val="00F53CF9"/>
    <w:rsid w:val="00F54211"/>
    <w:rsid w:val="00FB2F03"/>
    <w:rsid w:val="00FB3CD9"/>
    <w:rsid w:val="00FC1F21"/>
    <w:rsid w:val="00FD00E5"/>
    <w:rsid w:val="00FE4E77"/>
    <w:rsid w:val="00FF05F8"/>
    <w:rsid w:val="00FF66C7"/>
    <w:rsid w:val="3D8300F7"/>
    <w:rsid w:val="581EB526"/>
    <w:rsid w:val="65ECE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34FC"/>
  <w15:chartTrackingRefBased/>
  <w15:docId w15:val="{4BA3962A-6420-446F-8878-06D5226C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156A"/>
    <w:pPr>
      <w:ind w:left="720"/>
      <w:contextualSpacing/>
    </w:pPr>
  </w:style>
  <w:style w:type="paragraph" w:styleId="Revision">
    <w:name w:val="Revision"/>
    <w:hidden/>
    <w:uiPriority w:val="99"/>
    <w:semiHidden/>
    <w:rsid w:val="003521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2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A3"/>
  </w:style>
  <w:style w:type="paragraph" w:styleId="Footer">
    <w:name w:val="footer"/>
    <w:basedOn w:val="Normal"/>
    <w:link w:val="FooterChar"/>
    <w:uiPriority w:val="99"/>
    <w:unhideWhenUsed/>
    <w:rsid w:val="00E8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A3"/>
  </w:style>
  <w:style w:type="paragraph" w:customStyle="1" w:styleId="Bullet1">
    <w:name w:val="Bullet 1"/>
    <w:basedOn w:val="ListParagraph"/>
    <w:link w:val="Bullet1Char"/>
    <w:qFormat/>
    <w:rsid w:val="00B2490E"/>
    <w:pPr>
      <w:numPr>
        <w:numId w:val="1"/>
      </w:numPr>
      <w:spacing w:before="120" w:after="0" w:line="240" w:lineRule="auto"/>
      <w:contextualSpacing w:val="0"/>
    </w:pPr>
    <w:rPr>
      <w:rFonts w:cstheme="minorHAnsi"/>
      <w:b/>
      <w:bCs/>
      <w:szCs w:val="24"/>
    </w:rPr>
  </w:style>
  <w:style w:type="paragraph" w:customStyle="1" w:styleId="Bullet2">
    <w:name w:val="Bullet 2"/>
    <w:basedOn w:val="ListParagraph"/>
    <w:link w:val="Bullet2Char"/>
    <w:qFormat/>
    <w:rsid w:val="009F732F"/>
    <w:pPr>
      <w:numPr>
        <w:ilvl w:val="1"/>
        <w:numId w:val="1"/>
      </w:numPr>
      <w:tabs>
        <w:tab w:val="left" w:pos="720"/>
      </w:tabs>
      <w:spacing w:before="120" w:after="120" w:line="240" w:lineRule="auto"/>
      <w:ind w:left="7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2490E"/>
  </w:style>
  <w:style w:type="character" w:customStyle="1" w:styleId="Bullet1Char">
    <w:name w:val="Bullet 1 Char"/>
    <w:basedOn w:val="ListParagraphChar"/>
    <w:link w:val="Bullet1"/>
    <w:rsid w:val="00B2490E"/>
    <w:rPr>
      <w:rFonts w:cstheme="minorHAnsi"/>
      <w:b/>
      <w:bCs/>
      <w:szCs w:val="24"/>
    </w:rPr>
  </w:style>
  <w:style w:type="paragraph" w:customStyle="1" w:styleId="Bullet3NoSpacing">
    <w:name w:val="Bullet 3 No Spacing"/>
    <w:basedOn w:val="ListParagraph"/>
    <w:link w:val="Bullet3NoSpacingChar"/>
    <w:qFormat/>
    <w:rsid w:val="00481B34"/>
    <w:pPr>
      <w:numPr>
        <w:ilvl w:val="2"/>
        <w:numId w:val="1"/>
      </w:numPr>
      <w:spacing w:after="0" w:line="240" w:lineRule="auto"/>
      <w:ind w:left="1267"/>
      <w:contextualSpacing w:val="0"/>
    </w:pPr>
  </w:style>
  <w:style w:type="character" w:customStyle="1" w:styleId="Bullet2Char">
    <w:name w:val="Bullet 2 Char"/>
    <w:basedOn w:val="ListParagraphChar"/>
    <w:link w:val="Bullet2"/>
    <w:rsid w:val="009F732F"/>
  </w:style>
  <w:style w:type="paragraph" w:customStyle="1" w:styleId="Bullet3">
    <w:name w:val="Bullet 3"/>
    <w:basedOn w:val="Bullet3NoSpacing"/>
    <w:link w:val="Bullet3Char"/>
    <w:qFormat/>
    <w:rsid w:val="00421BC3"/>
    <w:pPr>
      <w:spacing w:before="120" w:after="120"/>
      <w:ind w:left="1080" w:hanging="270"/>
    </w:pPr>
  </w:style>
  <w:style w:type="character" w:customStyle="1" w:styleId="Bullet3NoSpacingChar">
    <w:name w:val="Bullet 3 No Spacing Char"/>
    <w:basedOn w:val="ListParagraphChar"/>
    <w:link w:val="Bullet3NoSpacing"/>
    <w:rsid w:val="00481B34"/>
  </w:style>
  <w:style w:type="paragraph" w:customStyle="1" w:styleId="Bullet4">
    <w:name w:val="Bullet 4"/>
    <w:basedOn w:val="Bullet3NoSpacing"/>
    <w:link w:val="Bullet4Char"/>
    <w:qFormat/>
    <w:rsid w:val="00B2490E"/>
  </w:style>
  <w:style w:type="character" w:customStyle="1" w:styleId="Bullet3Char">
    <w:name w:val="Bullet 3 Char"/>
    <w:basedOn w:val="Bullet3NoSpacingChar"/>
    <w:link w:val="Bullet3"/>
    <w:rsid w:val="00421BC3"/>
  </w:style>
  <w:style w:type="character" w:customStyle="1" w:styleId="Bullet4Char">
    <w:name w:val="Bullet 4 Char"/>
    <w:basedOn w:val="Bullet3NoSpacingChar"/>
    <w:link w:val="Bullet4"/>
    <w:rsid w:val="00B24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8f3d1-049a-4402-bce0-eb143f62f16c">
      <Terms xmlns="http://schemas.microsoft.com/office/infopath/2007/PartnerControls"/>
    </lcf76f155ced4ddcb4097134ff3c332f>
    <TaxCatchAll xmlns="27ed5b12-c125-417c-a12d-2a5b8d74b7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BFA8C096A2142B49EC7B586EFAC6E" ma:contentTypeVersion="13" ma:contentTypeDescription="Create a new document." ma:contentTypeScope="" ma:versionID="132c8fbf33948b9767db91d96458316f">
  <xsd:schema xmlns:xsd="http://www.w3.org/2001/XMLSchema" xmlns:xs="http://www.w3.org/2001/XMLSchema" xmlns:p="http://schemas.microsoft.com/office/2006/metadata/properties" xmlns:ns2="3898f3d1-049a-4402-bce0-eb143f62f16c" xmlns:ns3="27ed5b12-c125-417c-a12d-2a5b8d74b72c" targetNamespace="http://schemas.microsoft.com/office/2006/metadata/properties" ma:root="true" ma:fieldsID="753bcb81051760c02372a5c12076e395" ns2:_="" ns3:_="">
    <xsd:import namespace="3898f3d1-049a-4402-bce0-eb143f62f16c"/>
    <xsd:import namespace="27ed5b12-c125-417c-a12d-2a5b8d74b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f3d1-049a-4402-bce0-eb143f62f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d5ae57-9f7e-4d69-afe4-f1be50041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5b12-c125-417c-a12d-2a5b8d74b7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b07e59-e498-4d6c-8658-68b1e77d2f44}" ma:internalName="TaxCatchAll" ma:showField="CatchAllData" ma:web="27ed5b12-c125-417c-a12d-2a5b8d74b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FD0FE-C7E2-4424-B9F4-50AD5075F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742E8-1A18-47B0-B58F-731A52BD104C}">
  <ds:schemaRefs>
    <ds:schemaRef ds:uri="http://schemas.microsoft.com/office/2006/metadata/properties"/>
    <ds:schemaRef ds:uri="http://schemas.microsoft.com/office/infopath/2007/PartnerControls"/>
    <ds:schemaRef ds:uri="3898f3d1-049a-4402-bce0-eb143f62f16c"/>
    <ds:schemaRef ds:uri="27ed5b12-c125-417c-a12d-2a5b8d74b72c"/>
  </ds:schemaRefs>
</ds:datastoreItem>
</file>

<file path=customXml/itemProps3.xml><?xml version="1.0" encoding="utf-8"?>
<ds:datastoreItem xmlns:ds="http://schemas.openxmlformats.org/officeDocument/2006/customXml" ds:itemID="{6724044C-AB98-4BDA-86DC-52BB8771C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f3d1-049a-4402-bce0-eb143f62f16c"/>
    <ds:schemaRef ds:uri="27ed5b12-c125-417c-a12d-2a5b8d74b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Payeur, Chad</dc:creator>
  <cp:keywords/>
  <dc:description/>
  <cp:lastModifiedBy>Payeur, Chad</cp:lastModifiedBy>
  <cp:revision>2</cp:revision>
  <dcterms:created xsi:type="dcterms:W3CDTF">2023-07-12T20:52:00Z</dcterms:created>
  <dcterms:modified xsi:type="dcterms:W3CDTF">2023-07-12T20:52:00Z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0x010100687BFA8C096A2142B49EC7B586EFAC6E</vt:lpwstr>
  </property>
  <property fmtid="{D5CDD505-2E9C-101B-9397-08002B2CF9AE}" pid="3" name="MediaServiceImageTags">
    <vt:lpwstr/>
  </property>
</Properties>
</file>